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t>CDU Receipt</w:t>
      </w:r>
    </w:p>
    <w:p w:rsidRPr="008003E7" w:rsidR="00586F13" w:rsidP="6DDDC0EE" w:rsidRDefault="008003E7" w14:paraId="2284D02D" w14:textId="45D59A72">
      <w:pPr>
        <w:pStyle w:val="Normal"/>
        <w:spacing w:after="0" w:line="240" w:lineRule="auto"/>
        <w:rPr>
          <w:rFonts w:ascii="Calibri" w:hAnsi="Calibri" w:eastAsia="Calibri" w:cs="Calibri"/>
          <w:b w:val="1"/>
          <w:bCs w:val="1"/>
          <w:i w:val="1"/>
          <w:iCs w:val="1"/>
          <w:caps w:val="0"/>
          <w:smallCaps w:val="0"/>
          <w:noProof w:val="0"/>
          <w:color w:val="074155"/>
          <w:sz w:val="24"/>
          <w:szCs w:val="24"/>
          <w:shd w:val="clear" w:color="auto" w:fill="FFFFFF"/>
          <w:lang w:val="en-US"/>
        </w:rPr>
      </w:pPr>
      <w:r w:rsidRPr="6DDDC0EE" w:rsidR="6A98D6CC">
        <w:rPr>
          <w:rFonts w:ascii="Calibri" w:hAnsi="Calibri" w:eastAsia="Times New Roman" w:cs="Times New Roman"/>
          <w:b w:val="1"/>
          <w:bCs w:val="1"/>
          <w:noProof w:val="0"/>
          <w:color w:val="000000" w:themeColor="text1" w:themeTint="FF" w:themeShade="FF"/>
          <w:sz w:val="24"/>
          <w:szCs w:val="24"/>
          <w:lang w:val="en-US"/>
        </w:rPr>
        <w:t>If I only had a (whole) brain: Understanding how thinking styles affect all of us</w:t>
      </w:r>
    </w:p>
    <w:p w:rsidR="6A98D6CC" w:rsidP="6DDDC0EE" w:rsidRDefault="6A98D6CC" w14:paraId="334F74A8" w14:textId="573FD171">
      <w:pPr>
        <w:pStyle w:val="Normal"/>
        <w:spacing w:after="0" w:line="240" w:lineRule="auto"/>
        <w:rPr>
          <w:rFonts w:ascii="Calibri" w:hAnsi="Calibri" w:eastAsia="Times New Roman" w:cs="Times New Roman"/>
          <w:i w:val="1"/>
          <w:iCs w:val="1"/>
          <w:color w:val="000000" w:themeColor="text1" w:themeTint="FF" w:themeShade="FF"/>
        </w:rPr>
      </w:pPr>
      <w:r w:rsidRPr="6DDDC0EE" w:rsidR="6A98D6CC">
        <w:rPr>
          <w:rFonts w:ascii="Calibri" w:hAnsi="Calibri" w:eastAsia="Times New Roman" w:cs="Times New Roman"/>
          <w:i w:val="1"/>
          <w:iCs w:val="1"/>
          <w:color w:val="000000" w:themeColor="text1" w:themeTint="FF" w:themeShade="FF"/>
        </w:rPr>
        <w:t>Working with people is often the most difficult part of our jobs. Securing stakeholder time and attention, making decisions, and obtaining buy-in are all harder than they should be. Is it because everyone (else) just does things wrong? Or could it be that if we understood more about how the brain works and the different ways that people think we could work more effectively? That’s the focus of this session: creating more effective teams and enhancing stakeholder communication through better understanding of the human brain. We will talk about the Whole Brain Model and learn more about the “toward” and “away” responses that guide nearly everything we do.</w:t>
      </w:r>
    </w:p>
    <w:p w:rsidRPr="002254DC" w:rsidR="002254DC" w:rsidP="001D6F7F" w:rsidRDefault="67559DC4" w14:paraId="6972695E" w14:textId="10CB7B46">
      <w:pPr>
        <w:pStyle w:val="NoSpacing"/>
        <w:rPr>
          <w:lang w:val="en"/>
        </w:rPr>
      </w:pPr>
      <w:r>
        <w:br/>
      </w:r>
      <w:r w:rsidRPr="62AB7456" w:rsidR="001D6F7F">
        <w:rPr>
          <w:b w:val="1"/>
          <w:bCs w:val="1"/>
          <w:color w:val="000000" w:themeColor="text1" w:themeTint="FF" w:themeShade="FF"/>
          <w:sz w:val="24"/>
          <w:szCs w:val="24"/>
          <w:lang w:val="en"/>
        </w:rPr>
        <w:t>ID:</w:t>
      </w:r>
      <w:r w:rsidRPr="62AB7456" w:rsidR="001D6F7F">
        <w:rPr>
          <w:b w:val="1"/>
          <w:bCs w:val="1"/>
          <w:lang w:val="en"/>
        </w:rPr>
        <w:t xml:space="preserve"> </w:t>
      </w:r>
      <w:r w:rsidRPr="62AB7456" w:rsidR="415E015C">
        <w:rPr>
          <w:rFonts w:ascii="Calibri" w:hAnsi="Calibri" w:eastAsia="Calibri" w:cs="Calibri"/>
          <w:noProof w:val="0"/>
          <w:sz w:val="24"/>
          <w:szCs w:val="24"/>
          <w:lang w:val="en"/>
        </w:rPr>
        <w:t>IIBACIC2021_06</w:t>
      </w:r>
      <w:r>
        <w:br/>
      </w:r>
      <w:r w:rsidRPr="62AB7456" w:rsidR="7E2820E7">
        <w:rPr>
          <w:b w:val="1"/>
          <w:bCs w:val="1"/>
          <w:color w:val="000000" w:themeColor="text1" w:themeTint="FF" w:themeShade="FF"/>
          <w:sz w:val="24"/>
          <w:szCs w:val="24"/>
          <w:lang w:val="en"/>
        </w:rPr>
        <w:t>Contact Hours:</w:t>
      </w:r>
      <w:r w:rsidRPr="62AB7456" w:rsidR="7E2820E7">
        <w:rPr>
          <w:lang w:val="en"/>
        </w:rPr>
        <w:t xml:space="preserve"> </w:t>
      </w:r>
      <w:r w:rsidRPr="62AB7456" w:rsidR="7E2820E7">
        <w:rPr>
          <w:rFonts w:ascii="Calibri" w:hAnsi="Calibri" w:eastAsia="Calibri" w:cs="Calibri"/>
          <w:sz w:val="24"/>
          <w:szCs w:val="24"/>
          <w:lang w:val="en"/>
        </w:rPr>
        <w:t>1</w:t>
      </w:r>
    </w:p>
    <w:p w:rsidRPr="00E10478" w:rsidR="002254DC" w:rsidP="6DDDC0EE" w:rsidRDefault="02E3878B" w14:paraId="69726960" w14:textId="19BAB202">
      <w:pPr>
        <w:spacing w:line="240" w:lineRule="auto"/>
        <w:rPr>
          <w:rFonts w:ascii="Calibri" w:hAnsi="Calibri" w:eastAsia="Calibri" w:cs="Calibri"/>
          <w:sz w:val="24"/>
          <w:szCs w:val="24"/>
          <w:lang w:val="en"/>
        </w:rPr>
      </w:pPr>
      <w:r w:rsidRPr="62AB7456" w:rsidR="02E3878B">
        <w:rPr>
          <w:b w:val="1"/>
          <w:bCs w:val="1"/>
          <w:color w:val="000000" w:themeColor="text1" w:themeTint="FF" w:themeShade="FF"/>
          <w:sz w:val="24"/>
          <w:szCs w:val="24"/>
          <w:lang w:val="en"/>
        </w:rPr>
        <w:t xml:space="preserve">BABOK Coverage: </w:t>
      </w:r>
      <w:r w:rsidRPr="62AB7456" w:rsidR="02E3878B">
        <w:rPr>
          <w:sz w:val="24"/>
          <w:szCs w:val="24"/>
          <w:lang w:val="en"/>
        </w:rPr>
        <w:t xml:space="preserve"> </w:t>
      </w:r>
      <w:r w:rsidRPr="62AB7456" w:rsidR="33160EBD">
        <w:rPr>
          <w:sz w:val="24"/>
          <w:szCs w:val="24"/>
          <w:lang w:val="en"/>
        </w:rPr>
        <w:t xml:space="preserve">Chapter 3: </w:t>
      </w:r>
      <w:r w:rsidRPr="62AB7456" w:rsidR="79DFD879">
        <w:rPr>
          <w:sz w:val="24"/>
          <w:szCs w:val="24"/>
          <w:lang w:val="en"/>
        </w:rPr>
        <w:t xml:space="preserve">Business Analysis Planning and Monitoring </w:t>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00611D72" w:rsidP="00611D72" w:rsidRDefault="00B34462" w14:paraId="6148719F" w14:textId="37F307BF">
      <w:pPr>
        <w:rPr>
          <w:b w:val="1"/>
          <w:bCs w:val="1"/>
        </w:rPr>
      </w:pPr>
      <w:r w:rsidRPr="6DDDC0EE" w:rsidR="00B34462">
        <w:rPr>
          <w:b w:val="1"/>
          <w:bCs w:val="1"/>
        </w:rPr>
        <w:t>Scott</w:t>
      </w:r>
      <w:r w:rsidRPr="6DDDC0EE" w:rsidR="7B729055">
        <w:rPr>
          <w:b w:val="1"/>
          <w:bCs w:val="1"/>
        </w:rPr>
        <w:t xml:space="preserve"> Helmers</w:t>
      </w:r>
    </w:p>
    <w:p w:rsidR="7B729055" w:rsidP="6DDDC0EE" w:rsidRDefault="7B729055" w14:paraId="0B8DB2E7" w14:textId="0854A5BF">
      <w:pPr>
        <w:pStyle w:val="Normal"/>
        <w:spacing w:after="0" w:line="240" w:lineRule="auto"/>
      </w:pPr>
      <w:r w:rsidR="7B729055">
        <w:rPr/>
        <w:t>Scott A. Helmers is a Partner at the Harvard Computing Group, a software and consulting firm that assists clients with understanding and implementing business process solutions. He is a co-inventor of TaskMap (TaskMap.com), a Visio add-in that allows anyone to document, analyze, and improve their business processes. Scott has worked with clients in ten countries on projects involving process mapping and redesign, knowledge management, and technology training.</w:t>
      </w:r>
    </w:p>
    <w:p w:rsidR="7B729055" w:rsidP="6DDDC0EE" w:rsidRDefault="7B729055" w14:paraId="3223C961" w14:textId="043BAC0E">
      <w:pPr>
        <w:pStyle w:val="Normal"/>
        <w:spacing w:after="0" w:line="240" w:lineRule="auto"/>
      </w:pPr>
      <w:r w:rsidR="7B729055">
        <w:rPr/>
        <w:t xml:space="preserve"> </w:t>
      </w:r>
    </w:p>
    <w:p w:rsidR="7B729055" w:rsidP="6DDDC0EE" w:rsidRDefault="7B729055" w14:paraId="283BF3EF" w14:textId="2A86B98A">
      <w:pPr>
        <w:pStyle w:val="Normal"/>
        <w:spacing w:after="0" w:line="240" w:lineRule="auto"/>
      </w:pPr>
      <w:r w:rsidR="7B729055">
        <w:rPr/>
        <w:t>Scott has been named a Microsoft Valuable Professional (MVP) for Visio every year since 2008, one of only six people in the world to hold that distinction. He is a course author for LinkedIn Learning (bit.ly/LILearning-Author), a Senior Instructor with Netmind (Netmind.net), and is the author of four books from Microsoft Press, including Visio 2016 Step by Step (VisioStepByStep.com).</w:t>
      </w:r>
    </w:p>
    <w:p w:rsidRPr="00723ED4" w:rsidR="00723ED4" w:rsidP="0011596E" w:rsidRDefault="00723ED4" w14:paraId="0FB479C2" w14:textId="37450E71">
      <w:pPr>
        <w:spacing w:after="0" w:line="240" w:lineRule="auto"/>
        <w:rPr>
          <w:bCs/>
        </w:rPr>
      </w:pPr>
      <w:r w:rsidRPr="00723ED4">
        <w:rPr>
          <w:bCs/>
        </w:rPr>
        <w:t>   </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6DDDC0EE" w:rsidRDefault="7E2820E7" w14:paraId="69726967" w14:textId="2A49E6DD">
      <w:pPr>
        <w:pStyle w:val="Heading2"/>
        <w:spacing w:before="120"/>
        <w:rPr>
          <w:rFonts w:ascii="Calibri" w:hAnsi="Calibri" w:eastAsia="" w:cs="" w:asciiTheme="minorAscii" w:hAnsiTheme="minorAscii" w:eastAsiaTheme="minorEastAsia" w:cstheme="minorBidi"/>
          <w:color w:val="222222"/>
          <w:sz w:val="22"/>
          <w:szCs w:val="22"/>
          <w:lang w:val="en"/>
        </w:rPr>
      </w:pPr>
      <w:r w:rsidRPr="6DDDC0EE" w:rsidR="7E2820E7">
        <w:rPr>
          <w:rFonts w:ascii="Calibri" w:hAnsi="Calibri" w:eastAsia="" w:cs="" w:asciiTheme="minorAscii" w:hAnsiTheme="minorAscii" w:eastAsiaTheme="minorEastAsia" w:cstheme="minorBidi"/>
          <w:b w:val="1"/>
          <w:bCs w:val="1"/>
          <w:color w:val="222222"/>
          <w:sz w:val="22"/>
          <w:szCs w:val="22"/>
          <w:lang w:val="en"/>
        </w:rPr>
        <w:t xml:space="preserve">Date: </w:t>
      </w:r>
      <w:r w:rsidRPr="6DDDC0EE" w:rsidR="49256516">
        <w:rPr>
          <w:rFonts w:ascii="Calibri" w:hAnsi="Calibri" w:eastAsia="" w:cs="" w:asciiTheme="minorAscii" w:hAnsiTheme="minorAscii" w:eastAsiaTheme="minorEastAsia" w:cstheme="minorBidi"/>
          <w:color w:val="222222"/>
          <w:sz w:val="22"/>
          <w:szCs w:val="22"/>
          <w:lang w:val="en"/>
        </w:rPr>
        <w:t>June 24</w:t>
      </w:r>
      <w:bookmarkStart w:name="_GoBack" w:id="0"/>
      <w:bookmarkEnd w:id="0"/>
      <w:r w:rsidRPr="6DDDC0EE" w:rsidR="00C50547">
        <w:rPr>
          <w:rFonts w:ascii="Calibri" w:hAnsi="Calibri" w:eastAsia="" w:cs="" w:asciiTheme="minorAscii" w:hAnsiTheme="minorAscii" w:eastAsiaTheme="minorEastAsia" w:cstheme="minorBidi"/>
          <w:color w:val="222222"/>
          <w:sz w:val="22"/>
          <w:szCs w:val="22"/>
          <w:lang w:val="en"/>
        </w:rPr>
        <w:t>, 2021</w:t>
      </w:r>
      <w:r w:rsidRPr="6DDDC0EE" w:rsidR="7E2820E7">
        <w:rPr>
          <w:rFonts w:ascii="Calibri" w:hAnsi="Calibri" w:eastAsia="" w:cs="" w:asciiTheme="minorAscii" w:hAnsiTheme="minorAscii" w:eastAsiaTheme="minorEastAsia" w:cstheme="minorBidi"/>
          <w:color w:val="222222"/>
          <w:sz w:val="22"/>
          <w:szCs w:val="22"/>
          <w:lang w:val="en"/>
        </w:rPr>
        <w:t xml:space="preserve"> at 11</w:t>
      </w:r>
      <w:r w:rsidRPr="6DDDC0EE" w:rsidR="00616583">
        <w:rPr>
          <w:rFonts w:ascii="Calibri" w:hAnsi="Calibri" w:eastAsia="" w:cs="" w:asciiTheme="minorAscii" w:hAnsiTheme="minorAscii" w:eastAsiaTheme="minorEastAsia" w:cstheme="minorBidi"/>
          <w:color w:val="222222"/>
          <w:sz w:val="22"/>
          <w:szCs w:val="22"/>
          <w:lang w:val="en"/>
        </w:rPr>
        <w:t>:30</w:t>
      </w:r>
      <w:r w:rsidRPr="6DDDC0EE" w:rsidR="7E2820E7">
        <w:rPr>
          <w:rFonts w:ascii="Calibri" w:hAnsi="Calibri" w:eastAsia="" w:cs="" w:asciiTheme="minorAscii" w:hAnsiTheme="minorAscii" w:eastAsiaTheme="minorEastAsia" w:cstheme="minorBidi"/>
          <w:color w:val="222222"/>
          <w:sz w:val="22"/>
          <w:szCs w:val="22"/>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24" w:rsidP="00E9265A" w:rsidRDefault="00C05024" w14:paraId="683785AA" w14:textId="77777777">
      <w:pPr>
        <w:spacing w:after="0" w:line="240" w:lineRule="auto"/>
      </w:pPr>
      <w:r>
        <w:separator/>
      </w:r>
    </w:p>
  </w:endnote>
  <w:endnote w:type="continuationSeparator" w:id="0">
    <w:p w:rsidR="00C05024" w:rsidP="00E9265A" w:rsidRDefault="00C05024" w14:paraId="36AB56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24" w:rsidP="00E9265A" w:rsidRDefault="00C05024" w14:paraId="2F9550FA" w14:textId="77777777">
      <w:pPr>
        <w:spacing w:after="0" w:line="240" w:lineRule="auto"/>
      </w:pPr>
      <w:r>
        <w:separator/>
      </w:r>
    </w:p>
  </w:footnote>
  <w:footnote w:type="continuationSeparator" w:id="0">
    <w:p w:rsidR="00C05024" w:rsidP="00E9265A" w:rsidRDefault="00C05024" w14:paraId="3BA4B00F"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86F13"/>
    <w:rsid w:val="00595E4D"/>
    <w:rsid w:val="005B0AC0"/>
    <w:rsid w:val="005C4136"/>
    <w:rsid w:val="005D173B"/>
    <w:rsid w:val="00611D72"/>
    <w:rsid w:val="00616583"/>
    <w:rsid w:val="0069015C"/>
    <w:rsid w:val="00697E3F"/>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92402A"/>
    <w:rsid w:val="009433AA"/>
    <w:rsid w:val="00961F8D"/>
    <w:rsid w:val="009C079C"/>
    <w:rsid w:val="00A02395"/>
    <w:rsid w:val="00A264A7"/>
    <w:rsid w:val="00A615B1"/>
    <w:rsid w:val="00A950C8"/>
    <w:rsid w:val="00A9645A"/>
    <w:rsid w:val="00AB6EBF"/>
    <w:rsid w:val="00AD588C"/>
    <w:rsid w:val="00B34462"/>
    <w:rsid w:val="00B47DA3"/>
    <w:rsid w:val="00BE0018"/>
    <w:rsid w:val="00C05024"/>
    <w:rsid w:val="00C3615F"/>
    <w:rsid w:val="00C50547"/>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1DFAA543"/>
    <w:rsid w:val="255C549B"/>
    <w:rsid w:val="2E4630E9"/>
    <w:rsid w:val="31B12FC4"/>
    <w:rsid w:val="33160EBD"/>
    <w:rsid w:val="391F7AAC"/>
    <w:rsid w:val="3FBF3AEF"/>
    <w:rsid w:val="4158089A"/>
    <w:rsid w:val="415E015C"/>
    <w:rsid w:val="49256516"/>
    <w:rsid w:val="52E1382C"/>
    <w:rsid w:val="59DCEA1A"/>
    <w:rsid w:val="62AB7456"/>
    <w:rsid w:val="6444C29C"/>
    <w:rsid w:val="67559DC4"/>
    <w:rsid w:val="6A98D6CC"/>
    <w:rsid w:val="6AD86E6F"/>
    <w:rsid w:val="6DDDC0EE"/>
    <w:rsid w:val="732D0681"/>
    <w:rsid w:val="745C6C62"/>
    <w:rsid w:val="77511F2F"/>
    <w:rsid w:val="79DFD879"/>
    <w:rsid w:val="7B45CD2D"/>
    <w:rsid w:val="7B729055"/>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DC985A6B-C7D9-4E2F-BF65-FCADABCE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08CA2-06F0-2345-A0F4-6AD2F214EC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Trevor Meyers</lastModifiedBy>
  <revision>4</revision>
  <dcterms:created xsi:type="dcterms:W3CDTF">2021-04-28T17:07:00.0000000Z</dcterms:created>
  <dcterms:modified xsi:type="dcterms:W3CDTF">2021-06-09T16:58:19.1021131Z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