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093122E7" w:rsidP="002254DC">
      <w:pPr>
        <w:pStyle w:val="Heading1"/>
      </w:pPr>
      <w:bookmarkStart w:id="0" w:name="_GoBack"/>
      <w:bookmarkEnd w:id="0"/>
      <w:r>
        <w:t>CDU Receipt</w:t>
      </w:r>
    </w:p>
    <w:p w14:paraId="4A3852A6" w14:textId="5791BF9F" w:rsidR="002254DC" w:rsidRPr="002254DC" w:rsidRDefault="093122E7" w:rsidP="093122E7">
      <w:pPr>
        <w:spacing w:after="0" w:line="240" w:lineRule="auto"/>
        <w:jc w:val="both"/>
        <w:rPr>
          <w:rFonts w:ascii="Calibri" w:eastAsia="Calibri" w:hAnsi="Calibri" w:cs="Calibri"/>
          <w:b/>
          <w:bCs/>
          <w:color w:val="222222"/>
          <w:sz w:val="28"/>
          <w:szCs w:val="28"/>
          <w:lang w:val="en"/>
        </w:rPr>
      </w:pPr>
      <w:r w:rsidRPr="093122E7">
        <w:rPr>
          <w:rFonts w:ascii="Calibri" w:eastAsia="Calibri" w:hAnsi="Calibri" w:cs="Calibri"/>
          <w:b/>
          <w:bCs/>
          <w:color w:val="222222"/>
          <w:sz w:val="28"/>
          <w:szCs w:val="28"/>
          <w:lang w:val="en"/>
        </w:rPr>
        <w:t>The Resilience Recipe</w:t>
      </w:r>
    </w:p>
    <w:p w14:paraId="1C94DC35" w14:textId="5D7DA997" w:rsidR="002254DC" w:rsidRPr="002254DC" w:rsidRDefault="093122E7" w:rsidP="093122E7">
      <w:pPr>
        <w:jc w:val="both"/>
        <w:rPr>
          <w:rFonts w:ascii="Calibri" w:eastAsia="Calibri" w:hAnsi="Calibri" w:cs="Calibri"/>
          <w:color w:val="000000" w:themeColor="text1"/>
          <w:sz w:val="24"/>
          <w:szCs w:val="24"/>
          <w:lang w:val="en"/>
        </w:rPr>
      </w:pPr>
      <w:r w:rsidRPr="093122E7">
        <w:rPr>
          <w:rFonts w:ascii="Calibri" w:eastAsia="Calibri" w:hAnsi="Calibri" w:cs="Calibri"/>
          <w:color w:val="000000" w:themeColor="text1"/>
          <w:sz w:val="24"/>
          <w:szCs w:val="24"/>
          <w:lang w:val="en"/>
        </w:rPr>
        <w:t>Burnout has been called the occupational hazard of the 21st century.  Why? </w:t>
      </w:r>
    </w:p>
    <w:p w14:paraId="70E56FE0" w14:textId="0F8B8EBA" w:rsidR="002254DC" w:rsidRPr="002254DC" w:rsidRDefault="093122E7" w:rsidP="093122E7">
      <w:pPr>
        <w:pStyle w:val="ListParagraph"/>
        <w:numPr>
          <w:ilvl w:val="0"/>
          <w:numId w:val="1"/>
        </w:numPr>
        <w:jc w:val="both"/>
        <w:rPr>
          <w:color w:val="000000" w:themeColor="text1"/>
          <w:sz w:val="24"/>
          <w:szCs w:val="24"/>
          <w:lang w:val="en"/>
        </w:rPr>
      </w:pPr>
      <w:r w:rsidRPr="093122E7">
        <w:rPr>
          <w:rFonts w:ascii="Calibri" w:eastAsia="Calibri" w:hAnsi="Calibri" w:cs="Calibri"/>
          <w:color w:val="000000" w:themeColor="text1"/>
          <w:sz w:val="24"/>
          <w:szCs w:val="24"/>
          <w:lang w:val="en"/>
        </w:rPr>
        <w:t>The pace of work is increasing</w:t>
      </w:r>
    </w:p>
    <w:p w14:paraId="79387513" w14:textId="4166F517" w:rsidR="002254DC" w:rsidRPr="002254DC" w:rsidRDefault="093122E7" w:rsidP="093122E7">
      <w:pPr>
        <w:pStyle w:val="ListParagraph"/>
        <w:numPr>
          <w:ilvl w:val="0"/>
          <w:numId w:val="1"/>
        </w:numPr>
        <w:jc w:val="both"/>
        <w:rPr>
          <w:color w:val="000000" w:themeColor="text1"/>
          <w:sz w:val="24"/>
          <w:szCs w:val="24"/>
          <w:lang w:val="en"/>
        </w:rPr>
      </w:pPr>
      <w:r w:rsidRPr="093122E7">
        <w:rPr>
          <w:rFonts w:ascii="Calibri" w:eastAsia="Calibri" w:hAnsi="Calibri" w:cs="Calibri"/>
          <w:color w:val="000000" w:themeColor="text1"/>
          <w:sz w:val="24"/>
          <w:szCs w:val="24"/>
          <w:lang w:val="en"/>
        </w:rPr>
        <w:t>The amount of information needed to be successful at work is multiplying</w:t>
      </w:r>
    </w:p>
    <w:p w14:paraId="5E1547AD" w14:textId="119D7F0B" w:rsidR="002254DC" w:rsidRPr="002254DC" w:rsidRDefault="093122E7" w:rsidP="093122E7">
      <w:pPr>
        <w:pStyle w:val="ListParagraph"/>
        <w:numPr>
          <w:ilvl w:val="0"/>
          <w:numId w:val="1"/>
        </w:numPr>
        <w:jc w:val="both"/>
        <w:rPr>
          <w:color w:val="000000" w:themeColor="text1"/>
          <w:sz w:val="24"/>
          <w:szCs w:val="24"/>
          <w:lang w:val="en"/>
        </w:rPr>
      </w:pPr>
      <w:r w:rsidRPr="093122E7">
        <w:rPr>
          <w:rFonts w:ascii="Calibri" w:eastAsia="Calibri" w:hAnsi="Calibri" w:cs="Calibri"/>
          <w:color w:val="000000" w:themeColor="text1"/>
          <w:sz w:val="24"/>
          <w:szCs w:val="24"/>
          <w:lang w:val="en"/>
        </w:rPr>
        <w:t>Many people are so hyperconnected to work that they respond to workplace demands – anytime and anywhere</w:t>
      </w:r>
    </w:p>
    <w:p w14:paraId="37B946A1" w14:textId="17409012" w:rsidR="002254DC" w:rsidRPr="002254DC" w:rsidRDefault="093122E7" w:rsidP="093122E7">
      <w:pPr>
        <w:jc w:val="both"/>
        <w:rPr>
          <w:rFonts w:ascii="Calibri" w:eastAsia="Calibri" w:hAnsi="Calibri" w:cs="Calibri"/>
          <w:color w:val="000000" w:themeColor="text1"/>
          <w:sz w:val="24"/>
          <w:szCs w:val="24"/>
          <w:lang w:val="en"/>
        </w:rPr>
      </w:pPr>
      <w:r w:rsidRPr="093122E7">
        <w:rPr>
          <w:rFonts w:ascii="Calibri" w:eastAsia="Calibri" w:hAnsi="Calibri" w:cs="Calibri"/>
          <w:color w:val="000000" w:themeColor="text1"/>
          <w:sz w:val="24"/>
          <w:szCs w:val="24"/>
          <w:lang w:val="en"/>
        </w:rPr>
        <w:t>That’s the bad news.  The good news is that resiliency and tenaciousness can be learned.  Come and discover the steps you can take – right now – to recover from adversity, bounce back after difficulties, thrive in the midst of chaos and excel, even under the most difficult circumstances.  </w:t>
      </w:r>
    </w:p>
    <w:p w14:paraId="6972695E" w14:textId="2B3C62FD" w:rsidR="002254DC" w:rsidRPr="002254DC" w:rsidRDefault="67559DC4" w:rsidP="093122E7">
      <w:pPr>
        <w:spacing w:after="0" w:line="240" w:lineRule="auto"/>
        <w:jc w:val="both"/>
        <w:rPr>
          <w:sz w:val="24"/>
          <w:szCs w:val="24"/>
          <w:lang w:val="en"/>
        </w:rPr>
      </w:pPr>
      <w:r>
        <w:br/>
      </w:r>
      <w:r w:rsidR="093122E7" w:rsidRPr="093122E7">
        <w:rPr>
          <w:b/>
          <w:bCs/>
          <w:sz w:val="24"/>
          <w:szCs w:val="24"/>
          <w:lang w:val="en"/>
        </w:rPr>
        <w:t xml:space="preserve">ID: </w:t>
      </w:r>
      <w:r w:rsidR="093122E7" w:rsidRPr="093122E7">
        <w:rPr>
          <w:sz w:val="24"/>
          <w:szCs w:val="24"/>
          <w:lang w:val="en"/>
        </w:rPr>
        <w:t>IIBACIC2019_06</w:t>
      </w:r>
      <w:r>
        <w:br/>
      </w:r>
      <w:r w:rsidR="093122E7" w:rsidRPr="093122E7">
        <w:rPr>
          <w:b/>
          <w:bCs/>
          <w:sz w:val="24"/>
          <w:szCs w:val="24"/>
          <w:lang w:val="en"/>
        </w:rPr>
        <w:t>Contact Hours:</w:t>
      </w:r>
      <w:r w:rsidR="093122E7" w:rsidRPr="093122E7">
        <w:rPr>
          <w:sz w:val="24"/>
          <w:szCs w:val="24"/>
          <w:lang w:val="en"/>
        </w:rPr>
        <w:t xml:space="preserve"> 1</w:t>
      </w:r>
    </w:p>
    <w:p w14:paraId="69726960" w14:textId="12C22CBD" w:rsidR="002254DC" w:rsidRPr="00E10478" w:rsidRDefault="02E3878B" w:rsidP="02E3878B">
      <w:pPr>
        <w:spacing w:line="240" w:lineRule="auto"/>
        <w:rPr>
          <w:sz w:val="24"/>
          <w:szCs w:val="24"/>
          <w:lang w:val="en"/>
        </w:rPr>
      </w:pPr>
      <w:r w:rsidRPr="02E3878B">
        <w:rPr>
          <w:b/>
          <w:bCs/>
          <w:color w:val="000000" w:themeColor="text1"/>
          <w:sz w:val="24"/>
          <w:szCs w:val="24"/>
          <w:lang w:val="en"/>
        </w:rPr>
        <w:t xml:space="preserve">BABOK Coverage: </w:t>
      </w:r>
      <w:r w:rsidRPr="02E3878B">
        <w:rPr>
          <w:sz w:val="24"/>
          <w:szCs w:val="24"/>
          <w:lang w:val="en"/>
        </w:rPr>
        <w:t xml:space="preserve"> </w:t>
      </w:r>
      <w:r w:rsidRPr="02E3878B">
        <w:rPr>
          <w:rFonts w:ascii="Calibri" w:eastAsia="Calibri" w:hAnsi="Calibri" w:cs="Calibri"/>
          <w:sz w:val="24"/>
          <w:szCs w:val="24"/>
          <w:lang w:val="en"/>
        </w:rPr>
        <w:t>BABOK  Ch 9 – Underlying Competencies</w:t>
      </w:r>
      <w:r w:rsidR="0069015C">
        <w:rPr>
          <w:sz w:val="24"/>
          <w:szCs w:val="24"/>
          <w:lang w:val="en"/>
        </w:rPr>
        <w:t xml:space="preserve"> </w:t>
      </w:r>
      <w:r w:rsidR="0014241F">
        <w:rPr>
          <w:sz w:val="24"/>
          <w:szCs w:val="24"/>
          <w:lang w:val="en"/>
        </w:rPr>
        <w:br/>
      </w:r>
      <w:r w:rsidR="0069015C">
        <w:rPr>
          <w:sz w:val="24"/>
          <w:szCs w:val="24"/>
          <w:lang w:val="en"/>
        </w:rPr>
        <w:tab/>
      </w:r>
    </w:p>
    <w:p w14:paraId="69726961" w14:textId="77777777" w:rsidR="002254DC" w:rsidRDefault="093122E7" w:rsidP="67559DC4">
      <w:pPr>
        <w:pStyle w:val="Heading2"/>
        <w:rPr>
          <w:rFonts w:ascii="Times New Roman" w:eastAsia="Times New Roman" w:hAnsi="Times New Roman" w:cs="Times New Roman"/>
          <w:lang w:val="en"/>
        </w:rPr>
      </w:pPr>
      <w:r w:rsidRPr="093122E7">
        <w:rPr>
          <w:rFonts w:ascii="Times New Roman" w:eastAsia="Times New Roman" w:hAnsi="Times New Roman" w:cs="Times New Roman"/>
          <w:lang w:val="en"/>
        </w:rPr>
        <w:t>Presenter(s)</w:t>
      </w:r>
    </w:p>
    <w:p w14:paraId="53286153" w14:textId="04E8FE0A" w:rsidR="093122E7" w:rsidRDefault="093122E7" w:rsidP="093122E7">
      <w:pPr>
        <w:spacing w:after="0" w:line="240" w:lineRule="auto"/>
      </w:pPr>
      <w:r w:rsidRPr="093122E7">
        <w:rPr>
          <w:rFonts w:eastAsiaTheme="minorEastAsia"/>
          <w:b/>
          <w:bCs/>
          <w:color w:val="222222"/>
          <w:sz w:val="24"/>
          <w:szCs w:val="24"/>
          <w:lang w:val="en"/>
        </w:rPr>
        <w:t>Tammy Rogers</w:t>
      </w:r>
    </w:p>
    <w:p w14:paraId="0DB7B77C" w14:textId="2620B7F2" w:rsidR="093122E7" w:rsidRDefault="093122E7" w:rsidP="093122E7">
      <w:pPr>
        <w:spacing w:after="0" w:line="240" w:lineRule="auto"/>
        <w:jc w:val="both"/>
        <w:rPr>
          <w:rFonts w:ascii="Calibri" w:eastAsia="Calibri" w:hAnsi="Calibri" w:cs="Calibri"/>
          <w:color w:val="000000" w:themeColor="text1"/>
          <w:sz w:val="24"/>
          <w:szCs w:val="24"/>
          <w:lang w:val="en"/>
        </w:rPr>
      </w:pPr>
      <w:r w:rsidRPr="093122E7">
        <w:rPr>
          <w:rFonts w:ascii="Calibri" w:eastAsia="Calibri" w:hAnsi="Calibri" w:cs="Calibri"/>
          <w:color w:val="000000" w:themeColor="text1"/>
          <w:sz w:val="24"/>
          <w:szCs w:val="24"/>
          <w:lang w:val="en"/>
        </w:rPr>
        <w:t xml:space="preserve">Tammy Rogers, co-founder, The </w:t>
      </w:r>
      <w:proofErr w:type="spellStart"/>
      <w:r w:rsidRPr="093122E7">
        <w:rPr>
          <w:rFonts w:ascii="Calibri" w:eastAsia="Calibri" w:hAnsi="Calibri" w:cs="Calibri"/>
          <w:color w:val="000000" w:themeColor="text1"/>
          <w:sz w:val="24"/>
          <w:szCs w:val="24"/>
          <w:lang w:val="en"/>
        </w:rPr>
        <w:t>Meyvn</w:t>
      </w:r>
      <w:proofErr w:type="spellEnd"/>
      <w:r w:rsidRPr="093122E7">
        <w:rPr>
          <w:rFonts w:ascii="Calibri" w:eastAsia="Calibri" w:hAnsi="Calibri" w:cs="Calibri"/>
          <w:color w:val="000000" w:themeColor="text1"/>
          <w:sz w:val="24"/>
          <w:szCs w:val="24"/>
          <w:lang w:val="en"/>
        </w:rPr>
        <w:t xml:space="preserve"> Group, is best known for helping leaders experience the kind of “Aha” moments that result in new ways of thinking, new attitudes and new behaviors. (Some might say she gives them meaty ideas to chew on–so to speak.)</w:t>
      </w:r>
    </w:p>
    <w:p w14:paraId="1464D061" w14:textId="0B8F5360" w:rsidR="093122E7" w:rsidRDefault="093122E7" w:rsidP="093122E7">
      <w:pPr>
        <w:spacing w:after="0" w:line="240" w:lineRule="auto"/>
        <w:jc w:val="both"/>
        <w:rPr>
          <w:rFonts w:ascii="Calibri" w:eastAsia="Calibri" w:hAnsi="Calibri" w:cs="Calibri"/>
          <w:color w:val="000000" w:themeColor="text1"/>
          <w:sz w:val="24"/>
          <w:szCs w:val="24"/>
          <w:lang w:val="en"/>
        </w:rPr>
      </w:pPr>
    </w:p>
    <w:p w14:paraId="5F24DB93" w14:textId="422ED575" w:rsidR="093122E7" w:rsidRDefault="093122E7" w:rsidP="093122E7">
      <w:pPr>
        <w:spacing w:after="0" w:line="240" w:lineRule="auto"/>
        <w:jc w:val="both"/>
        <w:rPr>
          <w:rFonts w:ascii="Calibri" w:eastAsia="Calibri" w:hAnsi="Calibri" w:cs="Calibri"/>
          <w:color w:val="000000" w:themeColor="text1"/>
          <w:sz w:val="24"/>
          <w:szCs w:val="24"/>
          <w:lang w:val="en"/>
        </w:rPr>
      </w:pPr>
      <w:r w:rsidRPr="093122E7">
        <w:rPr>
          <w:rFonts w:ascii="Calibri" w:eastAsia="Calibri" w:hAnsi="Calibri" w:cs="Calibri"/>
          <w:color w:val="000000" w:themeColor="text1"/>
          <w:sz w:val="24"/>
          <w:szCs w:val="24"/>
          <w:lang w:val="en"/>
        </w:rPr>
        <w:t>A certified coach, Tammy has been instrumental in nine business start-ups. She’s held Vice President titles in both Human Resources and Operations—and has had the opportunity to lead more than 200 employees in remote offices from Boston to Los Angeles and Minneapolis to Atlanta.</w:t>
      </w:r>
    </w:p>
    <w:p w14:paraId="54A679CA" w14:textId="1751F71D" w:rsidR="093122E7" w:rsidRDefault="093122E7" w:rsidP="093122E7">
      <w:pPr>
        <w:spacing w:after="0" w:line="240" w:lineRule="auto"/>
        <w:jc w:val="both"/>
        <w:rPr>
          <w:rFonts w:ascii="Calibri" w:eastAsia="Calibri" w:hAnsi="Calibri" w:cs="Calibri"/>
          <w:color w:val="000000" w:themeColor="text1"/>
          <w:sz w:val="24"/>
          <w:szCs w:val="24"/>
          <w:lang w:val="en"/>
        </w:rPr>
      </w:pPr>
    </w:p>
    <w:p w14:paraId="6A6E9E1E" w14:textId="3871B6EA" w:rsidR="093122E7" w:rsidRDefault="093122E7" w:rsidP="093122E7">
      <w:pPr>
        <w:spacing w:after="0" w:line="240" w:lineRule="auto"/>
        <w:jc w:val="both"/>
        <w:rPr>
          <w:rFonts w:ascii="Calibri" w:eastAsia="Calibri" w:hAnsi="Calibri" w:cs="Calibri"/>
          <w:color w:val="000000" w:themeColor="text1"/>
          <w:sz w:val="24"/>
          <w:szCs w:val="24"/>
          <w:lang w:val="en"/>
        </w:rPr>
      </w:pPr>
      <w:r w:rsidRPr="093122E7">
        <w:rPr>
          <w:rFonts w:ascii="Calibri" w:eastAsia="Calibri" w:hAnsi="Calibri" w:cs="Calibri"/>
          <w:color w:val="000000" w:themeColor="text1"/>
          <w:sz w:val="24"/>
          <w:szCs w:val="24"/>
          <w:lang w:val="en"/>
        </w:rPr>
        <w:t>Tammy has written more than 50 internationally distributed training programs. She has worked with best-selling authors like James Autry and Bob Nelson. And she has partnered with hundreds of companies—large and small—to help them improve results through the building of people, processes and procedures.</w:t>
      </w:r>
    </w:p>
    <w:p w14:paraId="63F00E62" w14:textId="6203855C" w:rsidR="093122E7" w:rsidRDefault="093122E7" w:rsidP="093122E7">
      <w:pPr>
        <w:spacing w:after="0" w:line="240" w:lineRule="auto"/>
        <w:jc w:val="both"/>
        <w:rPr>
          <w:rFonts w:ascii="Calibri" w:eastAsia="Calibri" w:hAnsi="Calibri" w:cs="Calibri"/>
          <w:color w:val="000000" w:themeColor="text1"/>
          <w:sz w:val="24"/>
          <w:szCs w:val="24"/>
          <w:lang w:val="en"/>
        </w:rPr>
      </w:pPr>
    </w:p>
    <w:p w14:paraId="383170DD" w14:textId="1A9BF98F" w:rsidR="31B12FC4" w:rsidRDefault="31B12FC4" w:rsidP="31B12FC4">
      <w:pPr>
        <w:spacing w:after="0" w:line="240" w:lineRule="auto"/>
        <w:jc w:val="both"/>
        <w:rPr>
          <w:rFonts w:ascii="Calibri" w:eastAsia="Calibri" w:hAnsi="Calibri" w:cs="Calibri"/>
          <w:color w:val="000000" w:themeColor="text1"/>
          <w:sz w:val="24"/>
          <w:szCs w:val="24"/>
          <w:lang w:val="en"/>
        </w:rPr>
      </w:pPr>
    </w:p>
    <w:p w14:paraId="69726965" w14:textId="77777777" w:rsidR="002254DC" w:rsidRDefault="002254DC" w:rsidP="002254DC">
      <w:pPr>
        <w:shd w:val="clear" w:color="auto" w:fill="FFFFFF"/>
        <w:spacing w:after="0" w:line="240" w:lineRule="auto"/>
        <w:textAlignment w:val="top"/>
        <w:rPr>
          <w:rFonts w:eastAsia="Times New Roman" w:cstheme="minorHAnsi"/>
          <w:color w:val="222222"/>
          <w:sz w:val="20"/>
          <w:szCs w:val="20"/>
          <w:lang w:val="en"/>
        </w:rPr>
      </w:pPr>
    </w:p>
    <w:p w14:paraId="69726966" w14:textId="77777777" w:rsidR="002254DC" w:rsidRDefault="67559DC4" w:rsidP="67559DC4">
      <w:pPr>
        <w:pStyle w:val="Heading2"/>
        <w:rPr>
          <w:rFonts w:ascii="Times New Roman" w:eastAsia="Times New Roman" w:hAnsi="Times New Roman" w:cs="Times New Roman"/>
          <w:lang w:val="en"/>
        </w:rPr>
      </w:pPr>
      <w:r w:rsidRPr="67559DC4">
        <w:rPr>
          <w:rFonts w:ascii="Times New Roman" w:eastAsia="Times New Roman" w:hAnsi="Times New Roman" w:cs="Times New Roman"/>
          <w:lang w:val="en"/>
        </w:rPr>
        <w:lastRenderedPageBreak/>
        <w:t>Event Details</w:t>
      </w:r>
    </w:p>
    <w:p w14:paraId="69726967" w14:textId="60BD5650" w:rsidR="002254DC" w:rsidRPr="00505A9C" w:rsidRDefault="093122E7" w:rsidP="093122E7">
      <w:pPr>
        <w:pStyle w:val="Heading2"/>
        <w:spacing w:before="120"/>
        <w:rPr>
          <w:rFonts w:asciiTheme="minorHAnsi" w:eastAsiaTheme="minorEastAsia" w:hAnsiTheme="minorHAnsi" w:cstheme="minorBidi"/>
          <w:color w:val="222222"/>
          <w:sz w:val="24"/>
          <w:szCs w:val="24"/>
          <w:lang w:val="en"/>
        </w:rPr>
      </w:pPr>
      <w:r w:rsidRPr="093122E7">
        <w:rPr>
          <w:rFonts w:asciiTheme="minorHAnsi" w:eastAsiaTheme="minorEastAsia" w:hAnsiTheme="minorHAnsi" w:cstheme="minorBidi"/>
          <w:b/>
          <w:bCs/>
          <w:color w:val="222222"/>
          <w:sz w:val="24"/>
          <w:szCs w:val="24"/>
          <w:lang w:val="en"/>
        </w:rPr>
        <w:t xml:space="preserve">Date: </w:t>
      </w:r>
      <w:r w:rsidRPr="093122E7">
        <w:rPr>
          <w:rFonts w:asciiTheme="minorHAnsi" w:eastAsiaTheme="minorEastAsia" w:hAnsiTheme="minorHAnsi" w:cstheme="minorBidi"/>
          <w:color w:val="222222"/>
          <w:sz w:val="24"/>
          <w:szCs w:val="24"/>
          <w:lang w:val="en"/>
        </w:rPr>
        <w:t xml:space="preserve">27-Jun-2019 at 11 am </w:t>
      </w:r>
    </w:p>
    <w:p w14:paraId="70437FFE" w14:textId="5C521D07" w:rsidR="093122E7" w:rsidRDefault="093122E7" w:rsidP="093122E7">
      <w:pPr>
        <w:pStyle w:val="NoSpacing"/>
        <w:rPr>
          <w:sz w:val="24"/>
          <w:szCs w:val="24"/>
          <w:lang w:val="en"/>
        </w:rPr>
      </w:pPr>
      <w:r w:rsidRPr="093122E7">
        <w:rPr>
          <w:b/>
          <w:bCs/>
          <w:sz w:val="24"/>
          <w:szCs w:val="24"/>
          <w:lang w:val="en"/>
        </w:rPr>
        <w:t>Host:</w:t>
      </w:r>
      <w:r w:rsidRPr="093122E7">
        <w:rPr>
          <w:sz w:val="24"/>
          <w:szCs w:val="24"/>
          <w:lang w:val="en"/>
        </w:rPr>
        <w:t xml:space="preserve"> Wellmark Blue Cross Blue Shield</w:t>
      </w:r>
    </w:p>
    <w:p w14:paraId="633A5955" w14:textId="1D855519" w:rsidR="6AD86E6F" w:rsidRDefault="093122E7" w:rsidP="093122E7">
      <w:pPr>
        <w:pStyle w:val="NoSpacing"/>
        <w:rPr>
          <w:sz w:val="24"/>
          <w:szCs w:val="24"/>
          <w:lang w:val="en"/>
        </w:rPr>
      </w:pPr>
      <w:r w:rsidRPr="093122E7">
        <w:rPr>
          <w:rFonts w:eastAsiaTheme="minorEastAsia"/>
          <w:b/>
          <w:bCs/>
          <w:color w:val="222222"/>
          <w:sz w:val="24"/>
          <w:szCs w:val="24"/>
          <w:lang w:val="en"/>
        </w:rPr>
        <w:t xml:space="preserve">Location: </w:t>
      </w:r>
      <w:r w:rsidRPr="093122E7">
        <w:rPr>
          <w:rFonts w:ascii="Calibri" w:eastAsia="Calibri" w:hAnsi="Calibri" w:cs="Calibri"/>
          <w:color w:val="222222"/>
          <w:sz w:val="24"/>
          <w:szCs w:val="24"/>
          <w:lang w:val="en"/>
        </w:rPr>
        <w:t>1331 Grand Ave, Des Moines, IA 50309</w:t>
      </w:r>
    </w:p>
    <w:p w14:paraId="6972696A" w14:textId="77777777" w:rsidR="003F77BA" w:rsidRPr="002254DC" w:rsidRDefault="003F77BA" w:rsidP="3FBF3AEF">
      <w:pPr>
        <w:pStyle w:val="NoSpacing"/>
        <w:rPr>
          <w:sz w:val="24"/>
          <w:szCs w:val="24"/>
          <w:lang w:val="en"/>
        </w:rPr>
      </w:pPr>
    </w:p>
    <w:p w14:paraId="6972696B" w14:textId="77777777" w:rsidR="00AD588C" w:rsidRDefault="67559DC4" w:rsidP="007C2956">
      <w:pPr>
        <w:pStyle w:val="Heading1"/>
      </w:pPr>
      <w:r w:rsidRPr="67559DC4">
        <w:rPr>
          <w:sz w:val="26"/>
          <w:szCs w:val="26"/>
        </w:rPr>
        <w:t>Validation</w:t>
      </w:r>
    </w:p>
    <w:p w14:paraId="6972696C" w14:textId="77777777" w:rsidR="002254DC" w:rsidRDefault="67559DC4" w:rsidP="002254DC">
      <w:r>
        <w:t>This receipt is proof of attendance at the meeting described above by the following individual:</w:t>
      </w:r>
    </w:p>
    <w:p w14:paraId="6972696D" w14:textId="77777777" w:rsidR="00517818" w:rsidRDefault="67559DC4" w:rsidP="002254DC">
      <w:r>
        <w:t>______________________________________</w:t>
      </w:r>
      <w:r w:rsidR="00517818">
        <w:br/>
      </w:r>
      <w:r>
        <w:t>Attendee Name</w:t>
      </w:r>
    </w:p>
    <w:sectPr w:rsidR="00517818" w:rsidSect="00DE299D">
      <w:headerReference w:type="default" r:id="rId11"/>
      <w:footerReference w:type="default" r:id="rId12"/>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26970" w14:textId="77777777" w:rsidR="00F25B45" w:rsidRDefault="00F25B45" w:rsidP="00E9265A">
      <w:pPr>
        <w:spacing w:after="0" w:line="240" w:lineRule="auto"/>
      </w:pPr>
      <w:r>
        <w:separator/>
      </w:r>
    </w:p>
  </w:endnote>
  <w:endnote w:type="continuationSeparator" w:id="0">
    <w:p w14:paraId="69726971" w14:textId="77777777" w:rsidR="00F25B45" w:rsidRDefault="00F25B45"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4" w14:textId="77777777" w:rsidR="00BE0018" w:rsidRPr="00DE299D" w:rsidRDefault="00DE299D" w:rsidP="67559DC4">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C49E"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696E" w14:textId="77777777" w:rsidR="00F25B45" w:rsidRDefault="00F25B45" w:rsidP="00E9265A">
      <w:pPr>
        <w:spacing w:after="0" w:line="240" w:lineRule="auto"/>
      </w:pPr>
      <w:r>
        <w:separator/>
      </w:r>
    </w:p>
  </w:footnote>
  <w:footnote w:type="continuationSeparator" w:id="0">
    <w:p w14:paraId="6972696F" w14:textId="77777777" w:rsidR="00F25B45" w:rsidRDefault="00F25B45"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23A5E"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DE2A4"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958BF"/>
    <w:multiLevelType w:val="hybridMultilevel"/>
    <w:tmpl w:val="C3D2C1A0"/>
    <w:lvl w:ilvl="0" w:tplc="AC1ACBAE">
      <w:start w:val="1"/>
      <w:numFmt w:val="bullet"/>
      <w:lvlText w:val=""/>
      <w:lvlJc w:val="left"/>
      <w:pPr>
        <w:ind w:left="720" w:hanging="360"/>
      </w:pPr>
      <w:rPr>
        <w:rFonts w:ascii="Symbol" w:hAnsi="Symbol" w:hint="default"/>
      </w:rPr>
    </w:lvl>
    <w:lvl w:ilvl="1" w:tplc="8AF20DBE">
      <w:start w:val="1"/>
      <w:numFmt w:val="bullet"/>
      <w:lvlText w:val="o"/>
      <w:lvlJc w:val="left"/>
      <w:pPr>
        <w:ind w:left="1440" w:hanging="360"/>
      </w:pPr>
      <w:rPr>
        <w:rFonts w:ascii="Courier New" w:hAnsi="Courier New" w:hint="default"/>
      </w:rPr>
    </w:lvl>
    <w:lvl w:ilvl="2" w:tplc="7674CAC0">
      <w:start w:val="1"/>
      <w:numFmt w:val="bullet"/>
      <w:lvlText w:val=""/>
      <w:lvlJc w:val="left"/>
      <w:pPr>
        <w:ind w:left="2160" w:hanging="360"/>
      </w:pPr>
      <w:rPr>
        <w:rFonts w:ascii="Wingdings" w:hAnsi="Wingdings" w:hint="default"/>
      </w:rPr>
    </w:lvl>
    <w:lvl w:ilvl="3" w:tplc="CFE03A44">
      <w:start w:val="1"/>
      <w:numFmt w:val="bullet"/>
      <w:lvlText w:val=""/>
      <w:lvlJc w:val="left"/>
      <w:pPr>
        <w:ind w:left="2880" w:hanging="360"/>
      </w:pPr>
      <w:rPr>
        <w:rFonts w:ascii="Symbol" w:hAnsi="Symbol" w:hint="default"/>
      </w:rPr>
    </w:lvl>
    <w:lvl w:ilvl="4" w:tplc="8DFECCCE">
      <w:start w:val="1"/>
      <w:numFmt w:val="bullet"/>
      <w:lvlText w:val="o"/>
      <w:lvlJc w:val="left"/>
      <w:pPr>
        <w:ind w:left="3600" w:hanging="360"/>
      </w:pPr>
      <w:rPr>
        <w:rFonts w:ascii="Courier New" w:hAnsi="Courier New" w:hint="default"/>
      </w:rPr>
    </w:lvl>
    <w:lvl w:ilvl="5" w:tplc="B502C47E">
      <w:start w:val="1"/>
      <w:numFmt w:val="bullet"/>
      <w:lvlText w:val=""/>
      <w:lvlJc w:val="left"/>
      <w:pPr>
        <w:ind w:left="4320" w:hanging="360"/>
      </w:pPr>
      <w:rPr>
        <w:rFonts w:ascii="Wingdings" w:hAnsi="Wingdings" w:hint="default"/>
      </w:rPr>
    </w:lvl>
    <w:lvl w:ilvl="6" w:tplc="AD1EE4F2">
      <w:start w:val="1"/>
      <w:numFmt w:val="bullet"/>
      <w:lvlText w:val=""/>
      <w:lvlJc w:val="left"/>
      <w:pPr>
        <w:ind w:left="5040" w:hanging="360"/>
      </w:pPr>
      <w:rPr>
        <w:rFonts w:ascii="Symbol" w:hAnsi="Symbol" w:hint="default"/>
      </w:rPr>
    </w:lvl>
    <w:lvl w:ilvl="7" w:tplc="BCBACCB8">
      <w:start w:val="1"/>
      <w:numFmt w:val="bullet"/>
      <w:lvlText w:val="o"/>
      <w:lvlJc w:val="left"/>
      <w:pPr>
        <w:ind w:left="5760" w:hanging="360"/>
      </w:pPr>
      <w:rPr>
        <w:rFonts w:ascii="Courier New" w:hAnsi="Courier New" w:hint="default"/>
      </w:rPr>
    </w:lvl>
    <w:lvl w:ilvl="8" w:tplc="3B489BF8">
      <w:start w:val="1"/>
      <w:numFmt w:val="bullet"/>
      <w:lvlText w:val=""/>
      <w:lvlJc w:val="left"/>
      <w:pPr>
        <w:ind w:left="6480" w:hanging="360"/>
      </w:pPr>
      <w:rPr>
        <w:rFonts w:ascii="Wingdings" w:hAnsi="Wingdings" w:hint="default"/>
      </w:rPr>
    </w:lvl>
  </w:abstractNum>
  <w:abstractNum w:abstractNumId="3"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9530A"/>
    <w:multiLevelType w:val="hybridMultilevel"/>
    <w:tmpl w:val="DD9EA170"/>
    <w:lvl w:ilvl="0" w:tplc="B7F4C32A">
      <w:start w:val="1"/>
      <w:numFmt w:val="bullet"/>
      <w:lvlText w:val=""/>
      <w:lvlJc w:val="left"/>
      <w:pPr>
        <w:ind w:left="720" w:hanging="360"/>
      </w:pPr>
      <w:rPr>
        <w:rFonts w:ascii="Symbol" w:hAnsi="Symbol" w:hint="default"/>
      </w:rPr>
    </w:lvl>
    <w:lvl w:ilvl="1" w:tplc="969C616A">
      <w:start w:val="1"/>
      <w:numFmt w:val="bullet"/>
      <w:lvlText w:val="o"/>
      <w:lvlJc w:val="left"/>
      <w:pPr>
        <w:ind w:left="1440" w:hanging="360"/>
      </w:pPr>
      <w:rPr>
        <w:rFonts w:ascii="Courier New" w:hAnsi="Courier New" w:hint="default"/>
      </w:rPr>
    </w:lvl>
    <w:lvl w:ilvl="2" w:tplc="9B4421BA">
      <w:start w:val="1"/>
      <w:numFmt w:val="bullet"/>
      <w:lvlText w:val=""/>
      <w:lvlJc w:val="left"/>
      <w:pPr>
        <w:ind w:left="2160" w:hanging="360"/>
      </w:pPr>
      <w:rPr>
        <w:rFonts w:ascii="Wingdings" w:hAnsi="Wingdings" w:hint="default"/>
      </w:rPr>
    </w:lvl>
    <w:lvl w:ilvl="3" w:tplc="4934B4EC">
      <w:start w:val="1"/>
      <w:numFmt w:val="bullet"/>
      <w:lvlText w:val=""/>
      <w:lvlJc w:val="left"/>
      <w:pPr>
        <w:ind w:left="2880" w:hanging="360"/>
      </w:pPr>
      <w:rPr>
        <w:rFonts w:ascii="Symbol" w:hAnsi="Symbol" w:hint="default"/>
      </w:rPr>
    </w:lvl>
    <w:lvl w:ilvl="4" w:tplc="60261B54">
      <w:start w:val="1"/>
      <w:numFmt w:val="bullet"/>
      <w:lvlText w:val="o"/>
      <w:lvlJc w:val="left"/>
      <w:pPr>
        <w:ind w:left="3600" w:hanging="360"/>
      </w:pPr>
      <w:rPr>
        <w:rFonts w:ascii="Courier New" w:hAnsi="Courier New" w:hint="default"/>
      </w:rPr>
    </w:lvl>
    <w:lvl w:ilvl="5" w:tplc="AE8A9798">
      <w:start w:val="1"/>
      <w:numFmt w:val="bullet"/>
      <w:lvlText w:val=""/>
      <w:lvlJc w:val="left"/>
      <w:pPr>
        <w:ind w:left="4320" w:hanging="360"/>
      </w:pPr>
      <w:rPr>
        <w:rFonts w:ascii="Wingdings" w:hAnsi="Wingdings" w:hint="default"/>
      </w:rPr>
    </w:lvl>
    <w:lvl w:ilvl="6" w:tplc="330239EC">
      <w:start w:val="1"/>
      <w:numFmt w:val="bullet"/>
      <w:lvlText w:val=""/>
      <w:lvlJc w:val="left"/>
      <w:pPr>
        <w:ind w:left="5040" w:hanging="360"/>
      </w:pPr>
      <w:rPr>
        <w:rFonts w:ascii="Symbol" w:hAnsi="Symbol" w:hint="default"/>
      </w:rPr>
    </w:lvl>
    <w:lvl w:ilvl="7" w:tplc="7CCAEE6C">
      <w:start w:val="1"/>
      <w:numFmt w:val="bullet"/>
      <w:lvlText w:val="o"/>
      <w:lvlJc w:val="left"/>
      <w:pPr>
        <w:ind w:left="5760" w:hanging="360"/>
      </w:pPr>
      <w:rPr>
        <w:rFonts w:ascii="Courier New" w:hAnsi="Courier New" w:hint="default"/>
      </w:rPr>
    </w:lvl>
    <w:lvl w:ilvl="8" w:tplc="5C163164">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4549B"/>
    <w:rsid w:val="000506E7"/>
    <w:rsid w:val="00095781"/>
    <w:rsid w:val="001126E4"/>
    <w:rsid w:val="001234B0"/>
    <w:rsid w:val="0014241F"/>
    <w:rsid w:val="00182989"/>
    <w:rsid w:val="001D19FC"/>
    <w:rsid w:val="002254DC"/>
    <w:rsid w:val="002A6881"/>
    <w:rsid w:val="002B5F4A"/>
    <w:rsid w:val="002B7323"/>
    <w:rsid w:val="002D4699"/>
    <w:rsid w:val="002D61AF"/>
    <w:rsid w:val="002E0CC3"/>
    <w:rsid w:val="003F77BA"/>
    <w:rsid w:val="00436020"/>
    <w:rsid w:val="00446209"/>
    <w:rsid w:val="00446AF6"/>
    <w:rsid w:val="0045244A"/>
    <w:rsid w:val="004667ED"/>
    <w:rsid w:val="00492A74"/>
    <w:rsid w:val="004D33FC"/>
    <w:rsid w:val="00505A9C"/>
    <w:rsid w:val="00517818"/>
    <w:rsid w:val="005314EB"/>
    <w:rsid w:val="005B0AC0"/>
    <w:rsid w:val="005D173B"/>
    <w:rsid w:val="0069015C"/>
    <w:rsid w:val="00754016"/>
    <w:rsid w:val="00770324"/>
    <w:rsid w:val="007C2956"/>
    <w:rsid w:val="007C45AD"/>
    <w:rsid w:val="008201BB"/>
    <w:rsid w:val="0086663A"/>
    <w:rsid w:val="0086701F"/>
    <w:rsid w:val="008A3FB0"/>
    <w:rsid w:val="008B28DA"/>
    <w:rsid w:val="008C531F"/>
    <w:rsid w:val="008E5BEA"/>
    <w:rsid w:val="009433AA"/>
    <w:rsid w:val="00A264A7"/>
    <w:rsid w:val="00A615B1"/>
    <w:rsid w:val="00A950C8"/>
    <w:rsid w:val="00AD588C"/>
    <w:rsid w:val="00BE0018"/>
    <w:rsid w:val="00C3615F"/>
    <w:rsid w:val="00D27134"/>
    <w:rsid w:val="00D5220A"/>
    <w:rsid w:val="00D57AA7"/>
    <w:rsid w:val="00D853A8"/>
    <w:rsid w:val="00DE299D"/>
    <w:rsid w:val="00E06903"/>
    <w:rsid w:val="00E07087"/>
    <w:rsid w:val="00E10478"/>
    <w:rsid w:val="00E76E8F"/>
    <w:rsid w:val="00E9265A"/>
    <w:rsid w:val="00F25B45"/>
    <w:rsid w:val="00F57498"/>
    <w:rsid w:val="00F775F5"/>
    <w:rsid w:val="00FE15FD"/>
    <w:rsid w:val="00FE4B39"/>
    <w:rsid w:val="02E3878B"/>
    <w:rsid w:val="093122E7"/>
    <w:rsid w:val="2E4630E9"/>
    <w:rsid w:val="31B12FC4"/>
    <w:rsid w:val="391F7AAC"/>
    <w:rsid w:val="3FBF3AEF"/>
    <w:rsid w:val="67559DC4"/>
    <w:rsid w:val="6AD8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1" ma:contentTypeDescription="Create a new document." ma:contentTypeScope="" ma:versionID="b67871f56fcde3bb4cc98ee0e632ccc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4e6e7b1f651dcab05e9d3ce2d3d29420"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297e0901-390e-4287-94f8-14f3ca94e57f"/>
    <ds:schemaRef ds:uri="http://purl.org/dc/terms/"/>
    <ds:schemaRef ds:uri="e9f770e3-f1bd-4456-b3b6-ef587afeccd8"/>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F477563A-047D-45ED-87CE-79205866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F3EC7-533C-4267-9CB7-AA5E8C9B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IIBA CIC Letterhead.dotx</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2019-07-02T18:25:00Z</dcterms:created>
  <dcterms:modified xsi:type="dcterms:W3CDTF">2019-07-02T18:25:00Z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